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F90" w:rsidRPr="00FC3F90" w:rsidRDefault="00FC3F90" w:rsidP="00FC3F9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Verdana" w:eastAsia="굴림" w:hAnsi="Verdana" w:cs="Arial"/>
          <w:color w:val="333333"/>
          <w:kern w:val="0"/>
          <w:sz w:val="44"/>
          <w:szCs w:val="44"/>
        </w:rPr>
      </w:pPr>
      <w:r w:rsidRPr="00FC3F90">
        <w:rPr>
          <w:rFonts w:ascii="Verdana" w:eastAsia="굴림" w:hAnsi="Verdana" w:cs="Arial"/>
          <w:color w:val="333333"/>
          <w:kern w:val="0"/>
          <w:sz w:val="44"/>
          <w:szCs w:val="44"/>
        </w:rPr>
        <w:t> </w:t>
      </w:r>
      <w:bookmarkStart w:id="0" w:name="_GoBack"/>
      <w:bookmarkEnd w:id="0"/>
      <w:proofErr w:type="spellStart"/>
      <w:r w:rsidRPr="00FC3F90">
        <w:rPr>
          <w:rFonts w:ascii="Verdana" w:eastAsia="굴림" w:hAnsi="Verdana" w:cs="Arial"/>
          <w:color w:val="333333"/>
          <w:kern w:val="0"/>
          <w:sz w:val="44"/>
          <w:szCs w:val="44"/>
        </w:rPr>
        <w:t>Moire</w:t>
      </w:r>
      <w:proofErr w:type="spellEnd"/>
      <w:r w:rsidRPr="00FC3F90">
        <w:rPr>
          <w:rFonts w:ascii="Verdana" w:eastAsia="굴림" w:hAnsi="Verdana" w:cs="Arial"/>
          <w:color w:val="333333"/>
          <w:kern w:val="0"/>
          <w:sz w:val="44"/>
          <w:szCs w:val="44"/>
        </w:rPr>
        <w:t xml:space="preserve"> </w:t>
      </w:r>
      <w:proofErr w:type="spellStart"/>
      <w:r w:rsidRPr="00FC3F90">
        <w:rPr>
          <w:rFonts w:ascii="Verdana" w:eastAsia="굴림" w:hAnsi="Verdana" w:cs="Arial"/>
          <w:color w:val="333333"/>
          <w:kern w:val="0"/>
          <w:sz w:val="44"/>
          <w:szCs w:val="44"/>
        </w:rPr>
        <w:t>superlattices</w:t>
      </w:r>
      <w:proofErr w:type="spellEnd"/>
      <w:r w:rsidRPr="00FC3F90">
        <w:rPr>
          <w:rFonts w:ascii="Verdana" w:eastAsia="굴림" w:hAnsi="Verdana" w:cs="Arial"/>
          <w:color w:val="333333"/>
          <w:kern w:val="0"/>
          <w:sz w:val="44"/>
          <w:szCs w:val="44"/>
        </w:rPr>
        <w:t xml:space="preserve"> in Dirac crystals </w:t>
      </w:r>
    </w:p>
    <w:p w:rsidR="00FC3F90" w:rsidRPr="00FC3F90" w:rsidRDefault="00FC3F90" w:rsidP="00FC3F9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18"/>
          <w:szCs w:val="18"/>
        </w:rPr>
      </w:pPr>
    </w:p>
    <w:p w:rsidR="00FC3F90" w:rsidRPr="00FC3F90" w:rsidRDefault="00FC3F90" w:rsidP="00FC3F90">
      <w:pPr>
        <w:widowControl/>
        <w:shd w:val="clear" w:color="auto" w:fill="FFFFFF"/>
        <w:wordWrap/>
        <w:autoSpaceDE/>
        <w:autoSpaceDN/>
        <w:spacing w:after="0" w:line="234" w:lineRule="atLeast"/>
        <w:ind w:left="360" w:right="360"/>
        <w:jc w:val="left"/>
        <w:rPr>
          <w:rFonts w:ascii="Verdana" w:eastAsia="굴림" w:hAnsi="Verdana" w:cs="Arial"/>
          <w:color w:val="333333"/>
          <w:kern w:val="0"/>
          <w:sz w:val="22"/>
        </w:rPr>
      </w:pPr>
      <w:r w:rsidRPr="00FC3F90">
        <w:rPr>
          <w:rFonts w:ascii="Verdana" w:eastAsia="굴림" w:hAnsi="Verdana" w:cs="Tahoma"/>
          <w:color w:val="222222"/>
          <w:kern w:val="0"/>
          <w:sz w:val="22"/>
        </w:rPr>
        <w:t xml:space="preserve">When atomically thin two-dimensional materials are layered, they often form incommensurable </w:t>
      </w:r>
      <w:proofErr w:type="spellStart"/>
      <w:r w:rsidRPr="00FC3F90">
        <w:rPr>
          <w:rFonts w:ascii="Verdana" w:eastAsia="굴림" w:hAnsi="Verdana" w:cs="Tahoma"/>
          <w:color w:val="222222"/>
          <w:kern w:val="0"/>
          <w:sz w:val="22"/>
        </w:rPr>
        <w:t>noncrystalline</w:t>
      </w:r>
      <w:proofErr w:type="spellEnd"/>
      <w:r w:rsidRPr="00FC3F90">
        <w:rPr>
          <w:rFonts w:ascii="Verdana" w:eastAsia="굴림" w:hAnsi="Verdana" w:cs="Tahoma"/>
          <w:color w:val="222222"/>
          <w:kern w:val="0"/>
          <w:sz w:val="22"/>
        </w:rPr>
        <w:t xml:space="preserve"> structures that exhibit long-period </w:t>
      </w:r>
      <w:proofErr w:type="spellStart"/>
      <w:r w:rsidRPr="00FC3F90">
        <w:rPr>
          <w:rFonts w:ascii="Verdana" w:eastAsia="굴림" w:hAnsi="Verdana" w:cs="Tahoma"/>
          <w:color w:val="222222"/>
          <w:kern w:val="0"/>
          <w:sz w:val="22"/>
        </w:rPr>
        <w:t>moire</w:t>
      </w:r>
      <w:proofErr w:type="spellEnd"/>
      <w:r w:rsidRPr="00FC3F90">
        <w:rPr>
          <w:rFonts w:ascii="Verdana" w:eastAsia="굴림" w:hAnsi="Verdana" w:cs="Tahoma"/>
          <w:color w:val="222222"/>
          <w:kern w:val="0"/>
          <w:sz w:val="22"/>
        </w:rPr>
        <w:t xml:space="preserve"> patterns when examined by scanning probes. The difficulty of describing the electronic structure of </w:t>
      </w:r>
      <w:proofErr w:type="spellStart"/>
      <w:r w:rsidRPr="00FC3F90">
        <w:rPr>
          <w:rFonts w:ascii="Verdana" w:eastAsia="굴림" w:hAnsi="Verdana" w:cs="Tahoma"/>
          <w:color w:val="222222"/>
          <w:kern w:val="0"/>
          <w:sz w:val="22"/>
        </w:rPr>
        <w:t>noncrystalline</w:t>
      </w:r>
      <w:proofErr w:type="spellEnd"/>
      <w:r w:rsidRPr="00FC3F90">
        <w:rPr>
          <w:rFonts w:ascii="Verdana" w:eastAsia="굴림" w:hAnsi="Verdana" w:cs="Tahoma"/>
          <w:color w:val="222222"/>
          <w:kern w:val="0"/>
          <w:sz w:val="22"/>
        </w:rPr>
        <w:t xml:space="preserve"> lattices resides in the impossibility of using conventional Bloch’s theorem assumed for periodic crystals. In this talk I will explain how this difficulty can be circumvented to obtain the electronic structure of incommensurable crystals in the limit of large </w:t>
      </w:r>
      <w:proofErr w:type="spellStart"/>
      <w:r w:rsidRPr="00FC3F90">
        <w:rPr>
          <w:rFonts w:ascii="Verdana" w:eastAsia="굴림" w:hAnsi="Verdana" w:cs="Tahoma"/>
          <w:color w:val="222222"/>
          <w:kern w:val="0"/>
          <w:sz w:val="22"/>
        </w:rPr>
        <w:t>moire</w:t>
      </w:r>
      <w:proofErr w:type="spellEnd"/>
      <w:r w:rsidRPr="00FC3F90">
        <w:rPr>
          <w:rFonts w:ascii="Verdana" w:eastAsia="굴림" w:hAnsi="Verdana" w:cs="Tahoma"/>
          <w:color w:val="222222"/>
          <w:kern w:val="0"/>
          <w:sz w:val="22"/>
        </w:rPr>
        <w:t xml:space="preserve"> supercells by representing the band structure in the </w:t>
      </w:r>
      <w:proofErr w:type="spellStart"/>
      <w:r w:rsidRPr="00FC3F90">
        <w:rPr>
          <w:rFonts w:ascii="Verdana" w:eastAsia="굴림" w:hAnsi="Verdana" w:cs="Tahoma"/>
          <w:color w:val="222222"/>
          <w:kern w:val="0"/>
          <w:sz w:val="22"/>
        </w:rPr>
        <w:t>moire</w:t>
      </w:r>
      <w:proofErr w:type="spellEnd"/>
      <w:r w:rsidRPr="00FC3F90">
        <w:rPr>
          <w:rFonts w:ascii="Verdana" w:eastAsia="굴림" w:hAnsi="Verdana" w:cs="Tahoma"/>
          <w:color w:val="222222"/>
          <w:kern w:val="0"/>
          <w:sz w:val="22"/>
        </w:rPr>
        <w:t xml:space="preserve"> Brillouin zone that uses the Bloch's theorem on the </w:t>
      </w:r>
      <w:proofErr w:type="spellStart"/>
      <w:r w:rsidRPr="00FC3F90">
        <w:rPr>
          <w:rFonts w:ascii="Verdana" w:eastAsia="굴림" w:hAnsi="Verdana" w:cs="Tahoma"/>
          <w:color w:val="222222"/>
          <w:kern w:val="0"/>
          <w:sz w:val="22"/>
        </w:rPr>
        <w:t>moire</w:t>
      </w:r>
      <w:proofErr w:type="spellEnd"/>
      <w:r w:rsidRPr="00FC3F90">
        <w:rPr>
          <w:rFonts w:ascii="Verdana" w:eastAsia="굴림" w:hAnsi="Verdana" w:cs="Tahoma"/>
          <w:color w:val="222222"/>
          <w:kern w:val="0"/>
          <w:sz w:val="22"/>
        </w:rPr>
        <w:t xml:space="preserve"> </w:t>
      </w:r>
      <w:proofErr w:type="spellStart"/>
      <w:r w:rsidRPr="00FC3F90">
        <w:rPr>
          <w:rFonts w:ascii="Verdana" w:eastAsia="굴림" w:hAnsi="Verdana" w:cs="Tahoma"/>
          <w:color w:val="222222"/>
          <w:kern w:val="0"/>
          <w:sz w:val="22"/>
        </w:rPr>
        <w:t>superlattices</w:t>
      </w:r>
      <w:proofErr w:type="spellEnd"/>
      <w:r w:rsidRPr="00FC3F90">
        <w:rPr>
          <w:rFonts w:ascii="Verdana" w:eastAsia="굴림" w:hAnsi="Verdana" w:cs="Tahoma"/>
          <w:color w:val="222222"/>
          <w:kern w:val="0"/>
          <w:sz w:val="22"/>
        </w:rPr>
        <w:t xml:space="preserve">. We will show that calculations performed on locally commensurate crystalline structures can be used to derive effective Hamiltonians that are able to efficiently describe the influence of the </w:t>
      </w:r>
      <w:proofErr w:type="spellStart"/>
      <w:r w:rsidRPr="00FC3F90">
        <w:rPr>
          <w:rFonts w:ascii="Verdana" w:eastAsia="굴림" w:hAnsi="Verdana" w:cs="Tahoma"/>
          <w:color w:val="222222"/>
          <w:kern w:val="0"/>
          <w:sz w:val="22"/>
        </w:rPr>
        <w:t>moire</w:t>
      </w:r>
      <w:proofErr w:type="spellEnd"/>
      <w:r w:rsidRPr="00FC3F90">
        <w:rPr>
          <w:rFonts w:ascii="Verdana" w:eastAsia="굴림" w:hAnsi="Verdana" w:cs="Tahoma"/>
          <w:color w:val="222222"/>
          <w:kern w:val="0"/>
          <w:sz w:val="22"/>
        </w:rPr>
        <w:t xml:space="preserve"> pattern </w:t>
      </w:r>
      <w:proofErr w:type="spellStart"/>
      <w:r w:rsidRPr="00FC3F90">
        <w:rPr>
          <w:rFonts w:ascii="Verdana" w:eastAsia="굴림" w:hAnsi="Verdana" w:cs="Tahoma"/>
          <w:color w:val="222222"/>
          <w:kern w:val="0"/>
          <w:sz w:val="22"/>
        </w:rPr>
        <w:t>superlattices</w:t>
      </w:r>
      <w:proofErr w:type="spellEnd"/>
      <w:r w:rsidRPr="00FC3F90">
        <w:rPr>
          <w:rFonts w:ascii="Verdana" w:eastAsia="굴림" w:hAnsi="Verdana" w:cs="Tahoma"/>
          <w:color w:val="222222"/>
          <w:kern w:val="0"/>
          <w:sz w:val="22"/>
        </w:rPr>
        <w:t xml:space="preserve"> on electronic properties. We applied our approach to obtain the Hamiltonian of semimetal and gapped layered Dirac crystal combinations, among which we focus on the properties of hexagonal boron nitride (G/BN) as a representative system consisting of moiré </w:t>
      </w:r>
      <w:proofErr w:type="spellStart"/>
      <w:r w:rsidRPr="00FC3F90">
        <w:rPr>
          <w:rFonts w:ascii="Verdana" w:eastAsia="굴림" w:hAnsi="Verdana" w:cs="Tahoma"/>
          <w:color w:val="222222"/>
          <w:kern w:val="0"/>
          <w:sz w:val="22"/>
        </w:rPr>
        <w:t>superlattice</w:t>
      </w:r>
      <w:proofErr w:type="spellEnd"/>
      <w:r w:rsidRPr="00FC3F90">
        <w:rPr>
          <w:rFonts w:ascii="Verdana" w:eastAsia="굴림" w:hAnsi="Verdana" w:cs="Tahoma"/>
          <w:color w:val="222222"/>
          <w:kern w:val="0"/>
          <w:sz w:val="22"/>
        </w:rPr>
        <w:t xml:space="preserve"> pattern of pseudospin fields with domains of different topology. We show that the moiré strain fields can play an important role in reconfiguring the mechanical and electronic properties of G/BN in the limit of long moiré pattern periods and leads to the emergence of a global band gap. </w:t>
      </w:r>
    </w:p>
    <w:p w:rsidR="00913EAA" w:rsidRPr="00FC3F90" w:rsidRDefault="00913EAA">
      <w:pPr>
        <w:rPr>
          <w:rFonts w:ascii="Verdana" w:hAnsi="Verdana"/>
        </w:rPr>
      </w:pPr>
    </w:p>
    <w:sectPr w:rsidR="00913EAA" w:rsidRPr="00FC3F9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90"/>
    <w:rsid w:val="00913EAA"/>
    <w:rsid w:val="00FC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0D321-1FD0-40F3-AA87-23EB2C37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7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6487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3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36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pa-user</dc:creator>
  <cp:keywords/>
  <dc:description/>
  <cp:lastModifiedBy>pa-user</cp:lastModifiedBy>
  <cp:revision>1</cp:revision>
  <dcterms:created xsi:type="dcterms:W3CDTF">2017-05-04T01:20:00Z</dcterms:created>
  <dcterms:modified xsi:type="dcterms:W3CDTF">2017-05-04T01:22:00Z</dcterms:modified>
</cp:coreProperties>
</file>