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0211B8" w:rsidRDefault="000211B8" w:rsidP="000211B8">
            <w:pPr>
              <w:autoSpaceDE w:val="0"/>
              <w:autoSpaceDN w:val="0"/>
              <w:adjustRightInd w:val="0"/>
              <w:rPr>
                <w:rFonts w:ascii="Verdana" w:hAnsi="Verdana"/>
                <w:b/>
                <w:bCs/>
                <w:sz w:val="20"/>
                <w:szCs w:val="20"/>
                <w:lang w:eastAsia="zh-CN"/>
              </w:rPr>
            </w:pPr>
            <w:r>
              <w:rPr>
                <w:rFonts w:ascii="Verdana" w:hAnsi="Verdana"/>
                <w:b/>
                <w:bCs/>
                <w:sz w:val="20"/>
                <w:szCs w:val="20"/>
                <w:lang w:eastAsia="zh-CN"/>
              </w:rPr>
              <w:t xml:space="preserve">Special Researcher </w:t>
            </w:r>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AF737C" w:rsidRDefault="00AF737C"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AF737C" w:rsidRDefault="00AF737C"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796C7C" w:rsidRPr="006C4DBE" w:rsidRDefault="00085A55" w:rsidP="00796C7C">
            <w:pPr>
              <w:pStyle w:val="ListParagraph"/>
              <w:numPr>
                <w:ilvl w:val="0"/>
                <w:numId w:val="1"/>
              </w:numPr>
              <w:contextualSpacing w:val="0"/>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w:t>
            </w:r>
            <w:r w:rsidR="00796C7C">
              <w:rPr>
                <w:rFonts w:ascii="Verdana" w:hAnsi="Verdana"/>
                <w:sz w:val="20"/>
                <w:szCs w:val="20"/>
              </w:rPr>
              <w:t>or</w:t>
            </w:r>
            <w:r w:rsidRPr="006C4DBE">
              <w:rPr>
                <w:rFonts w:ascii="Verdana" w:hAnsi="Verdana"/>
                <w:sz w:val="20"/>
                <w:szCs w:val="20"/>
              </w:rPr>
              <w:t xml:space="preserve"> equivalent</w:t>
            </w:r>
            <w:r w:rsidR="00014D82">
              <w:rPr>
                <w:rFonts w:ascii="Verdana" w:hAnsi="Verdana"/>
                <w:sz w:val="20"/>
                <w:szCs w:val="20"/>
              </w:rPr>
              <w:t xml:space="preserve"> </w:t>
            </w:r>
            <w:r w:rsidR="00796C7C" w:rsidRPr="006C4DBE">
              <w:rPr>
                <w:rFonts w:ascii="Verdana" w:hAnsi="Verdana"/>
                <w:sz w:val="20"/>
                <w:szCs w:val="20"/>
              </w:rPr>
              <w:t>(M</w:t>
            </w:r>
            <w:r w:rsidR="00796C7C">
              <w:rPr>
                <w:rFonts w:ascii="Verdana" w:hAnsi="Verdana"/>
                <w:sz w:val="20"/>
                <w:szCs w:val="20"/>
              </w:rPr>
              <w:t>.</w:t>
            </w:r>
            <w:r w:rsidR="00796C7C" w:rsidRPr="006C4DBE">
              <w:rPr>
                <w:rFonts w:ascii="Verdana" w:hAnsi="Verdana"/>
                <w:sz w:val="20"/>
                <w:szCs w:val="20"/>
              </w:rPr>
              <w:t>S</w:t>
            </w:r>
            <w:r w:rsidR="00796C7C">
              <w:rPr>
                <w:rFonts w:ascii="Verdana" w:hAnsi="Verdana"/>
                <w:sz w:val="20"/>
                <w:szCs w:val="20"/>
              </w:rPr>
              <w:t xml:space="preserve">. </w:t>
            </w:r>
            <w:r w:rsidR="00796C7C" w:rsidRPr="006C4DBE">
              <w:rPr>
                <w:rFonts w:ascii="Verdana" w:hAnsi="Verdana"/>
                <w:sz w:val="20"/>
                <w:szCs w:val="20"/>
              </w:rPr>
              <w:t>4+</w:t>
            </w:r>
            <w:r w:rsidR="00796C7C">
              <w:rPr>
                <w:rFonts w:ascii="Verdana" w:hAnsi="Verdana"/>
                <w:sz w:val="20"/>
                <w:szCs w:val="20"/>
              </w:rPr>
              <w:t>e</w:t>
            </w:r>
            <w:r w:rsidR="00796C7C" w:rsidRPr="006C4DBE">
              <w:rPr>
                <w:rFonts w:ascii="Verdana" w:hAnsi="Verdana"/>
                <w:sz w:val="20"/>
                <w:szCs w:val="20"/>
              </w:rPr>
              <w:t>xperience)</w:t>
            </w:r>
            <w:r w:rsidR="00796C7C">
              <w:rPr>
                <w:rFonts w:ascii="Verdana" w:hAnsi="Verdana"/>
                <w:sz w:val="20"/>
                <w:szCs w:val="20"/>
              </w:rPr>
              <w:t xml:space="preserve"> or M.S.</w:t>
            </w:r>
          </w:p>
          <w:p w:rsidR="00085A55" w:rsidRPr="00796C7C" w:rsidRDefault="00796C7C" w:rsidP="00796C7C">
            <w:pPr>
              <w:pStyle w:val="ListParagraph"/>
              <w:numPr>
                <w:ilvl w:val="0"/>
                <w:numId w:val="1"/>
              </w:numPr>
              <w:contextualSpacing w:val="0"/>
              <w:rPr>
                <w:rFonts w:ascii="Verdana" w:hAnsi="Verdana"/>
                <w:sz w:val="20"/>
                <w:szCs w:val="20"/>
              </w:rPr>
            </w:pPr>
            <w:r>
              <w:rPr>
                <w:rFonts w:ascii="Verdana" w:hAnsi="Verdana"/>
                <w:sz w:val="20"/>
                <w:szCs w:val="20"/>
              </w:rPr>
              <w:t>Major</w:t>
            </w:r>
            <w:r w:rsidRPr="006C4DBE">
              <w:rPr>
                <w:rFonts w:ascii="Verdana" w:hAnsi="Verdana"/>
                <w:sz w:val="20"/>
                <w:szCs w:val="20"/>
              </w:rPr>
              <w:t xml:space="preserve"> in Polymer</w:t>
            </w:r>
            <w:r>
              <w:rPr>
                <w:rFonts w:ascii="Verdana" w:hAnsi="Verdana"/>
                <w:sz w:val="20"/>
                <w:szCs w:val="20"/>
              </w:rPr>
              <w:t xml:space="preserve">/Materials Science/Engineering, </w:t>
            </w:r>
            <w:r w:rsidRPr="006C4DBE">
              <w:rPr>
                <w:rFonts w:ascii="Verdana" w:hAnsi="Verdana"/>
                <w:sz w:val="20"/>
                <w:szCs w:val="20"/>
              </w:rPr>
              <w:t>Che</w:t>
            </w:r>
            <w:r w:rsidR="00014D82">
              <w:rPr>
                <w:rFonts w:ascii="Verdana" w:hAnsi="Verdana"/>
                <w:sz w:val="20"/>
                <w:szCs w:val="20"/>
              </w:rPr>
              <w:t>mical Engineering</w:t>
            </w:r>
            <w:r w:rsidR="002B0287">
              <w:rPr>
                <w:rFonts w:ascii="Verdana" w:hAnsi="Verdana"/>
                <w:sz w:val="20"/>
                <w:szCs w:val="20"/>
              </w:rPr>
              <w:t>.</w:t>
            </w:r>
          </w:p>
          <w:p w:rsidR="00085A55" w:rsidRDefault="00085A55" w:rsidP="0096455D">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AF737C" w:rsidRPr="006C4DBE" w:rsidRDefault="00AF737C" w:rsidP="00AF737C">
            <w:pPr>
              <w:pStyle w:val="ListParagraph"/>
              <w:ind w:left="360"/>
              <w:rPr>
                <w:rFonts w:ascii="Verdana" w:hAnsi="Verdana"/>
                <w:sz w:val="20"/>
                <w:szCs w:val="20"/>
              </w:rPr>
            </w:pPr>
          </w:p>
          <w:p w:rsidR="00085A55"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F60D53"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Provide technical expertise in understanding and evaluating materials/application needs through testing and</w:t>
            </w:r>
            <w:r w:rsidR="00796C7C">
              <w:rPr>
                <w:rFonts w:ascii="Verdana" w:eastAsia="Times New Roman" w:hAnsi="Verdana"/>
                <w:sz w:val="20"/>
                <w:szCs w:val="20"/>
              </w:rPr>
              <w:t xml:space="preserve"> </w:t>
            </w:r>
            <w:r w:rsidRPr="006C4DBE">
              <w:rPr>
                <w:rFonts w:ascii="Verdana" w:eastAsia="Times New Roman" w:hAnsi="Verdana"/>
                <w:sz w:val="20"/>
                <w:szCs w:val="20"/>
              </w:rPr>
              <w:t xml:space="preserve">prototyping. </w:t>
            </w:r>
          </w:p>
          <w:p w:rsidR="0096455D" w:rsidRPr="00D82D5F"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96455D">
            <w:pPr>
              <w:numPr>
                <w:ilvl w:val="0"/>
                <w:numId w:val="1"/>
              </w:numPr>
              <w:rPr>
                <w:rFonts w:ascii="Verdana" w:eastAsia="SimSun" w:hAnsi="Verdana"/>
                <w:sz w:val="20"/>
                <w:szCs w:val="20"/>
                <w:lang w:eastAsia="zh-CN"/>
              </w:rPr>
            </w:pPr>
            <w:r>
              <w:rPr>
                <w:rFonts w:ascii="Verdana" w:eastAsia="Times New Roman" w:hAnsi="Verdana"/>
                <w:sz w:val="20"/>
                <w:szCs w:val="20"/>
              </w:rPr>
              <w:t xml:space="preserve">Investigate the technology for successful </w:t>
            </w:r>
            <w:r w:rsidR="00796C7C">
              <w:rPr>
                <w:rFonts w:ascii="Verdana" w:eastAsia="Times New Roman" w:hAnsi="Verdana"/>
                <w:sz w:val="20"/>
                <w:szCs w:val="20"/>
              </w:rPr>
              <w:t>industry</w:t>
            </w:r>
            <w:r>
              <w:rPr>
                <w:rFonts w:ascii="Verdana" w:eastAsia="Times New Roman" w:hAnsi="Verdana"/>
                <w:sz w:val="20"/>
                <w:szCs w:val="20"/>
              </w:rPr>
              <w:t xml:space="preserve"> experience.</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w:t>
            </w:r>
            <w:r w:rsidR="00D82D5F">
              <w:rPr>
                <w:rFonts w:ascii="Verdana" w:eastAsia="Times New Roman" w:hAnsi="Verdana"/>
                <w:sz w:val="20"/>
                <w:szCs w:val="20"/>
              </w:rPr>
              <w:t>.</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2B0287" w:rsidP="0096455D">
            <w:pPr>
              <w:pStyle w:val="ListParagraph"/>
              <w:numPr>
                <w:ilvl w:val="0"/>
                <w:numId w:val="1"/>
              </w:numPr>
              <w:contextualSpacing w:val="0"/>
              <w:rPr>
                <w:rFonts w:ascii="Verdana" w:hAnsi="Verdana"/>
                <w:sz w:val="20"/>
                <w:szCs w:val="20"/>
              </w:rPr>
            </w:pPr>
            <w:r>
              <w:rPr>
                <w:rFonts w:ascii="Verdana" w:hAnsi="Verdana"/>
                <w:sz w:val="20"/>
                <w:szCs w:val="20"/>
              </w:rPr>
              <w:t xml:space="preserve">Major </w:t>
            </w:r>
            <w:r w:rsidR="00F60D53" w:rsidRPr="006C4DBE">
              <w:rPr>
                <w:rFonts w:ascii="Verdana" w:hAnsi="Verdana"/>
                <w:sz w:val="20"/>
                <w:szCs w:val="20"/>
              </w:rPr>
              <w:t>in Polymer</w:t>
            </w:r>
            <w:r w:rsidR="00201A3D">
              <w:rPr>
                <w:rFonts w:ascii="Verdana" w:hAnsi="Verdana"/>
                <w:sz w:val="20"/>
                <w:szCs w:val="20"/>
              </w:rPr>
              <w:t xml:space="preserve">/Materials Science/Engineering, </w:t>
            </w:r>
            <w:r w:rsidR="00F60D53" w:rsidRPr="006C4DBE">
              <w:rPr>
                <w:rFonts w:ascii="Verdana" w:hAnsi="Verdana"/>
                <w:sz w:val="20"/>
                <w:szCs w:val="20"/>
              </w:rPr>
              <w:t>Che</w:t>
            </w:r>
            <w:r w:rsidR="00014D82">
              <w:rPr>
                <w:rFonts w:ascii="Verdana" w:hAnsi="Verdana"/>
                <w:sz w:val="20"/>
                <w:szCs w:val="20"/>
              </w:rPr>
              <w:t xml:space="preserve">mical Engineering </w:t>
            </w:r>
            <w:r w:rsidR="00CB351F" w:rsidRPr="006C4DBE">
              <w:rPr>
                <w:rFonts w:ascii="Verdana" w:hAnsi="Verdana"/>
                <w:sz w:val="20"/>
                <w:szCs w:val="20"/>
              </w:rPr>
              <w:t xml:space="preserve">or </w:t>
            </w:r>
            <w:r>
              <w:rPr>
                <w:rFonts w:ascii="Verdana" w:hAnsi="Verdana"/>
                <w:sz w:val="20"/>
                <w:szCs w:val="20"/>
              </w:rPr>
              <w:t>industry experienced</w:t>
            </w:r>
            <w:r w:rsidR="00D82D5F">
              <w:rPr>
                <w:rFonts w:ascii="Verdana" w:hAnsi="Verdana"/>
                <w:sz w:val="20"/>
                <w:szCs w:val="20"/>
              </w:rPr>
              <w:t>.</w:t>
            </w:r>
          </w:p>
          <w:p w:rsidR="00F60D53" w:rsidRPr="006C4DBE" w:rsidRDefault="00CB351F" w:rsidP="002B0287">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Pr="006C4DBE">
              <w:rPr>
                <w:rFonts w:ascii="Verdana" w:eastAsia="맑은 고딕" w:hAnsi="Verdana"/>
                <w:sz w:val="20"/>
                <w:szCs w:val="20"/>
                <w:lang w:eastAsia="ko-KR"/>
              </w:rPr>
              <w:t>materials and processing technology,</w:t>
            </w:r>
            <w:r w:rsidR="009971D8">
              <w:rPr>
                <w:rFonts w:ascii="Verdana" w:eastAsia="맑은 고딕" w:hAnsi="Verdana"/>
                <w:sz w:val="20"/>
                <w:szCs w:val="20"/>
                <w:lang w:eastAsia="ko-KR"/>
              </w:rPr>
              <w:t xml:space="preserve"> </w:t>
            </w:r>
            <w:r w:rsidR="002B0287">
              <w:rPr>
                <w:rFonts w:ascii="Verdana" w:eastAsia="맑은 고딕" w:hAnsi="Verdana"/>
                <w:sz w:val="20"/>
                <w:szCs w:val="20"/>
                <w:lang w:eastAsia="ko-KR"/>
              </w:rPr>
              <w:t>vacuum process for thin film technology,</w:t>
            </w:r>
            <w:r w:rsidR="00C11C62">
              <w:rPr>
                <w:rFonts w:ascii="Verdana" w:eastAsia="맑은 고딕" w:hAnsi="Verdana"/>
                <w:sz w:val="20"/>
                <w:szCs w:val="20"/>
                <w:lang w:eastAsia="ko-KR"/>
              </w:rPr>
              <w:t xml:space="preserve"> preferably</w:t>
            </w:r>
            <w:r w:rsidR="002B0287">
              <w:rPr>
                <w:rFonts w:ascii="Verdana" w:eastAsia="맑은 고딕" w:hAnsi="Verdana"/>
                <w:sz w:val="20"/>
                <w:szCs w:val="20"/>
                <w:lang w:eastAsia="ko-KR"/>
              </w:rPr>
              <w:t xml:space="preserve"> </w:t>
            </w:r>
            <w:r w:rsidR="00014D82">
              <w:rPr>
                <w:rFonts w:ascii="Verdana" w:eastAsia="맑은 고딕" w:hAnsi="Verdana"/>
                <w:sz w:val="20"/>
                <w:szCs w:val="20"/>
                <w:lang w:eastAsia="ko-KR"/>
              </w:rPr>
              <w:t xml:space="preserve">roll to roll for </w:t>
            </w:r>
            <w:r w:rsidRPr="006C4DBE">
              <w:rPr>
                <w:rFonts w:ascii="Verdana" w:eastAsia="맑은 고딕" w:hAnsi="Verdana"/>
                <w:sz w:val="20"/>
                <w:szCs w:val="20"/>
                <w:lang w:eastAsia="ko-KR"/>
              </w:rPr>
              <w:t>OLED</w:t>
            </w:r>
            <w:r w:rsidR="00014D82">
              <w:rPr>
                <w:rFonts w:ascii="Verdana" w:eastAsia="맑은 고딕" w:hAnsi="Verdana"/>
                <w:sz w:val="20"/>
                <w:szCs w:val="20"/>
                <w:lang w:eastAsia="ko-KR"/>
              </w:rPr>
              <w:t xml:space="preserve"> materials, </w:t>
            </w:r>
            <w:r w:rsidR="002B0287">
              <w:rPr>
                <w:rFonts w:ascii="Verdana" w:eastAsia="맑은 고딕" w:hAnsi="Verdana"/>
                <w:sz w:val="20"/>
                <w:szCs w:val="20"/>
                <w:lang w:eastAsia="ko-KR"/>
              </w:rPr>
              <w:t xml:space="preserve">processes and </w:t>
            </w:r>
            <w:r w:rsidR="00F60D53" w:rsidRPr="006C4DBE">
              <w:rPr>
                <w:rFonts w:ascii="Verdana" w:eastAsia="맑은 고딕" w:hAnsi="Verdana"/>
                <w:sz w:val="20"/>
                <w:szCs w:val="20"/>
                <w:lang w:eastAsia="ko-KR"/>
              </w:rPr>
              <w:t xml:space="preserve">precision coating. </w:t>
            </w:r>
          </w:p>
          <w:p w:rsidR="00F60D53" w:rsidRDefault="00F60D53" w:rsidP="0096455D">
            <w:pPr>
              <w:pStyle w:val="ListParagraph"/>
              <w:numPr>
                <w:ilvl w:val="0"/>
                <w:numId w:val="1"/>
              </w:numPr>
              <w:contextualSpacing w:val="0"/>
              <w:rPr>
                <w:rStyle w:val="text1"/>
                <w:sz w:val="20"/>
                <w:szCs w:val="20"/>
              </w:rPr>
            </w:pPr>
            <w:r w:rsidRPr="006C4DBE">
              <w:rPr>
                <w:rStyle w:val="text1"/>
                <w:sz w:val="20"/>
                <w:szCs w:val="20"/>
              </w:rPr>
              <w:t>Ability to work across geographies and cultures</w:t>
            </w:r>
            <w:r w:rsidR="00D82D5F">
              <w:rPr>
                <w:rStyle w:val="text1"/>
                <w:sz w:val="20"/>
                <w:szCs w:val="20"/>
              </w:rPr>
              <w:t>.</w:t>
            </w:r>
            <w:r w:rsidRPr="006C4DBE">
              <w:rPr>
                <w:rStyle w:val="text1"/>
                <w:sz w:val="20"/>
                <w:szCs w:val="20"/>
              </w:rPr>
              <w:t xml:space="preserve"> </w:t>
            </w:r>
          </w:p>
          <w:p w:rsidR="00E93205" w:rsidRDefault="00E93205" w:rsidP="00E93205">
            <w:pPr>
              <w:pStyle w:val="ListParagraph"/>
              <w:ind w:left="360"/>
              <w:contextualSpacing w:val="0"/>
              <w:rPr>
                <w:rFonts w:ascii="Verdana" w:hAnsi="Verdana"/>
                <w:sz w:val="20"/>
                <w:szCs w:val="20"/>
              </w:rPr>
            </w:pPr>
          </w:p>
          <w:p w:rsidR="00AF737C" w:rsidRPr="00AF737C" w:rsidRDefault="00AF737C" w:rsidP="00AF737C">
            <w:pPr>
              <w:rPr>
                <w:rFonts w:ascii="Verdana" w:hAnsi="Verdana"/>
                <w:sz w:val="20"/>
                <w:szCs w:val="20"/>
              </w:rPr>
            </w:pPr>
          </w:p>
          <w:p w:rsidR="00E93205" w:rsidRPr="00E93205" w:rsidRDefault="00E93205" w:rsidP="00E93205">
            <w:pPr>
              <w:pStyle w:val="ListParagraph"/>
              <w:numPr>
                <w:ilvl w:val="0"/>
                <w:numId w:val="1"/>
              </w:numPr>
              <w:contextualSpacing w:val="0"/>
              <w:rPr>
                <w:rFonts w:ascii="Verdana" w:hAnsi="Verdana"/>
                <w:sz w:val="20"/>
                <w:szCs w:val="20"/>
              </w:rPr>
            </w:pPr>
            <w:r>
              <w:rPr>
                <w:rFonts w:ascii="Verdana" w:hAnsi="Verdana"/>
                <w:sz w:val="20"/>
                <w:szCs w:val="20"/>
              </w:rPr>
              <w:t xml:space="preserve">Competitive </w:t>
            </w:r>
            <w:r w:rsidR="000211B8">
              <w:rPr>
                <w:rFonts w:ascii="Verdana" w:hAnsi="Verdana"/>
                <w:sz w:val="20"/>
                <w:szCs w:val="20"/>
              </w:rPr>
              <w:t>package will be provided</w:t>
            </w:r>
            <w:bookmarkStart w:id="0" w:name="_GoBack"/>
            <w:bookmarkEnd w:id="0"/>
          </w:p>
          <w:p w:rsidR="00085A55" w:rsidRPr="00E93205" w:rsidRDefault="00085A55" w:rsidP="000211B8">
            <w:pPr>
              <w:pStyle w:val="ListParagraph"/>
              <w:ind w:left="360"/>
              <w:contextualSpacing w:val="0"/>
              <w:rPr>
                <w:rFonts w:ascii="Verdana" w:hAnsi="Verdana"/>
                <w:sz w:val="20"/>
                <w:szCs w:val="20"/>
              </w:rPr>
            </w:pPr>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SABIC’s businesses are grouped into Chemicals, Polymers, Performance Chemicals, Fertilizers, Metals and Innovative Plastics. SABIC has significant research resources with 18 dedicated Technology &amp; Innovation facilities in Saudi </w:t>
      </w:r>
      <w:r w:rsidRPr="006C4DBE">
        <w:rPr>
          <w:rStyle w:val="text1"/>
          <w:sz w:val="20"/>
          <w:szCs w:val="20"/>
        </w:rPr>
        <w:lastRenderedPageBreak/>
        <w:t>Arabia, the USA, the Netherlands, Spain, Japan, India, China and South Korea. 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01247"/>
    <w:rsid w:val="00014D82"/>
    <w:rsid w:val="000211B8"/>
    <w:rsid w:val="0008072F"/>
    <w:rsid w:val="00085A55"/>
    <w:rsid w:val="000C00CD"/>
    <w:rsid w:val="000F25F3"/>
    <w:rsid w:val="0011192A"/>
    <w:rsid w:val="00131491"/>
    <w:rsid w:val="00186888"/>
    <w:rsid w:val="001933B2"/>
    <w:rsid w:val="001E0EB2"/>
    <w:rsid w:val="00201A3D"/>
    <w:rsid w:val="00217DAE"/>
    <w:rsid w:val="00233C2C"/>
    <w:rsid w:val="002B0287"/>
    <w:rsid w:val="002F1D64"/>
    <w:rsid w:val="003670BD"/>
    <w:rsid w:val="003A6734"/>
    <w:rsid w:val="00606E44"/>
    <w:rsid w:val="006208CD"/>
    <w:rsid w:val="00626C50"/>
    <w:rsid w:val="00694566"/>
    <w:rsid w:val="006C1D0B"/>
    <w:rsid w:val="006C4DBE"/>
    <w:rsid w:val="00791CAC"/>
    <w:rsid w:val="00796C7C"/>
    <w:rsid w:val="007D4BF7"/>
    <w:rsid w:val="0080634F"/>
    <w:rsid w:val="00811DA5"/>
    <w:rsid w:val="0096455D"/>
    <w:rsid w:val="009971D8"/>
    <w:rsid w:val="00AF737C"/>
    <w:rsid w:val="00B10CE8"/>
    <w:rsid w:val="00B76AB7"/>
    <w:rsid w:val="00B95E2A"/>
    <w:rsid w:val="00BC4114"/>
    <w:rsid w:val="00BF735A"/>
    <w:rsid w:val="00C11C62"/>
    <w:rsid w:val="00C738D5"/>
    <w:rsid w:val="00C90616"/>
    <w:rsid w:val="00CA59BF"/>
    <w:rsid w:val="00CB351F"/>
    <w:rsid w:val="00CC1FD1"/>
    <w:rsid w:val="00D2400D"/>
    <w:rsid w:val="00D37AFD"/>
    <w:rsid w:val="00D422E9"/>
    <w:rsid w:val="00D67894"/>
    <w:rsid w:val="00D82D5F"/>
    <w:rsid w:val="00D972B1"/>
    <w:rsid w:val="00E11644"/>
    <w:rsid w:val="00E87858"/>
    <w:rsid w:val="00E93205"/>
    <w:rsid w:val="00E95F46"/>
    <w:rsid w:val="00F60D53"/>
    <w:rsid w:val="00F61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588971">
      <w:bodyDiv w:val="1"/>
      <w:marLeft w:val="0"/>
      <w:marRight w:val="0"/>
      <w:marTop w:val="0"/>
      <w:marBottom w:val="0"/>
      <w:divBdr>
        <w:top w:val="none" w:sz="0" w:space="0" w:color="auto"/>
        <w:left w:val="none" w:sz="0" w:space="0" w:color="auto"/>
        <w:bottom w:val="none" w:sz="0" w:space="0" w:color="auto"/>
        <w:right w:val="none" w:sz="0" w:space="0" w:color="auto"/>
      </w:divBdr>
    </w:div>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54995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9</cp:revision>
  <cp:lastPrinted>2015-02-23T11:42:00Z</cp:lastPrinted>
  <dcterms:created xsi:type="dcterms:W3CDTF">2015-03-12T04:36:00Z</dcterms:created>
  <dcterms:modified xsi:type="dcterms:W3CDTF">2015-04-03T05:35:00Z</dcterms:modified>
</cp:coreProperties>
</file>